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55"/>
        </w:tabs>
        <w:spacing w:line="460" w:lineRule="exact"/>
        <w:jc w:val="left"/>
        <w:rPr>
          <w:rFonts w:hint="eastAsia" w:ascii="Times New Roman" w:hAnsi="宋体"/>
          <w:b/>
          <w:sz w:val="32"/>
          <w:szCs w:val="32"/>
        </w:rPr>
      </w:pPr>
      <w:r>
        <w:rPr>
          <w:rFonts w:hint="eastAsia" w:ascii="Times New Roman" w:hAnsi="宋体"/>
          <w:b/>
          <w:sz w:val="32"/>
          <w:szCs w:val="32"/>
        </w:rPr>
        <w:t>附件1：项目清单</w:t>
      </w:r>
    </w:p>
    <w:tbl>
      <w:tblPr>
        <w:tblStyle w:val="10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09"/>
        <w:gridCol w:w="3871"/>
        <w:gridCol w:w="793"/>
        <w:gridCol w:w="655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采购或服务名称</w:t>
            </w: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规格说明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规划设计</w:t>
            </w: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视觉延展下述相关物料设计及场地规划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项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30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引导及氛围布置</w:t>
            </w: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1)开元寺西大门入口氛围及导引:宽3m*高3m*侧厚0.4m,桁架框体拉裱黑底布+主题标识立体装饰及导引箭头,户外防风配重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座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3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pStyle w:val="3"/>
              <w:widowControl/>
              <w:spacing w:line="400" w:lineRule="exact"/>
              <w:ind w:firstLine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2)通往古船馆沿途导引:宽1.4m*高2m*侧厚0.4m,桁架框体拉裱黑底布+主题标识立体装饰及导引箭头,户外防风配重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座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13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pStyle w:val="3"/>
              <w:widowControl/>
              <w:spacing w:line="400" w:lineRule="exact"/>
              <w:ind w:firstLine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3)报到处(兼具签名打卡功能):宽4m*高3m*侧厚0.6m,桁架框体拉裱黑底布,户外防风配重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座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3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4)场地氛围道旗(古船馆铁门门口及会场内部):5米道旗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座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13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5)集体大合影台阶区系列创意造型氛围立标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项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130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舞台布置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1)舞台:长10m*宽5m*高0.3m,国标舞台板面铺灰色针织会议地毯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座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13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2)台阶加装:舞台前端10m单级台阶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13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3)Led屏幕加装:户外P3全彩屏,宽8m*高3.5m(24日晚布场、25日彩排、26日活动现场)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27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3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4)屏体两侧造型侧板及主屏装饰造型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项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11</w:t>
            </w:r>
          </w:p>
        </w:tc>
        <w:tc>
          <w:tcPr>
            <w:tcW w:w="130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舞台氛围及其他相关物料制作</w:t>
            </w: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1)半线阵会务音响(24日晚布场、25日彩排、26日活动现场)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以现场需求为准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</w:t>
            </w:r>
          </w:p>
        </w:tc>
        <w:tc>
          <w:tcPr>
            <w:tcW w:w="13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2)演讲台租赁及氛围立包(含讲台花)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项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13</w:t>
            </w:r>
          </w:p>
        </w:tc>
        <w:tc>
          <w:tcPr>
            <w:tcW w:w="13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3)控台区形象围档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座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14</w:t>
            </w:r>
          </w:p>
        </w:tc>
        <w:tc>
          <w:tcPr>
            <w:tcW w:w="13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4)不锈钢腐蚀填漆匾额,含匾额摆放台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项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3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5)定制主视觉电子签约台2座+签约IPAD+签约系统软件服务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项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13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6)</w:t>
            </w:r>
            <w:r>
              <w:rPr>
                <w:rFonts w:hint="eastAsia" w:ascii="宋体" w:hAnsi="宋体" w:cs="宋体"/>
                <w:szCs w:val="21"/>
              </w:rPr>
              <w:t>2分钟特效视频制作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项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17</w:t>
            </w:r>
          </w:p>
        </w:tc>
        <w:tc>
          <w:tcPr>
            <w:tcW w:w="13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8)启动仪式道具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项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13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9)嘉宾、活动人员座席及签到区桌椅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项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实际以具体安排人数为准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13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10)主持人手卡、麦卡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项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13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11)双面卡式证件:嘉宾证、工作证、媒体证等(pvc卡双面彩印+双扣证件带)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80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实际以具体安排人数为准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21</w:t>
            </w:r>
          </w:p>
        </w:tc>
        <w:tc>
          <w:tcPr>
            <w:tcW w:w="13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12)帆布袋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份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80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实际以具体安排人数为准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22</w:t>
            </w:r>
          </w:p>
        </w:tc>
        <w:tc>
          <w:tcPr>
            <w:tcW w:w="130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工作人员</w:t>
            </w: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1)屏控服务(含工作人员，25日彩排+26日活动现场)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次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23</w:t>
            </w:r>
          </w:p>
        </w:tc>
        <w:tc>
          <w:tcPr>
            <w:tcW w:w="13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2)音控服务(含工作人员，25日彩排+26日活动现场)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次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24</w:t>
            </w:r>
          </w:p>
        </w:tc>
        <w:tc>
          <w:tcPr>
            <w:tcW w:w="13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3)惠安女/蟳蜅女礼仪各1名(25日彩排+26日活动现场)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名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25</w:t>
            </w:r>
          </w:p>
        </w:tc>
        <w:tc>
          <w:tcPr>
            <w:tcW w:w="13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4)主持人(25日彩排+26日活动现场)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名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26</w:t>
            </w:r>
          </w:p>
        </w:tc>
        <w:tc>
          <w:tcPr>
            <w:tcW w:w="130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摄影摄像</w:t>
            </w: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1)摄影服务:1组机位,4小时/场,全程跟拍(含照片直播)（含工作人员）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场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27</w:t>
            </w:r>
          </w:p>
        </w:tc>
        <w:tc>
          <w:tcPr>
            <w:tcW w:w="13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2)摄像服务:1组机位,4小时/场,视频剪辑(含30s宣传视频及1-3分钟长视频剪辑)（含工作人员）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场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28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运输及搬运</w:t>
            </w: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因布置场地限制物料进/撤场会产生相应的运输及搬运费用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项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29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执行服务</w:t>
            </w:r>
          </w:p>
        </w:tc>
        <w:tc>
          <w:tcPr>
            <w:tcW w:w="387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含会务统筹人员，活动统筹规划及现场执行费用(含税)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项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</w:tbl>
    <w:p>
      <w:pPr>
        <w:tabs>
          <w:tab w:val="left" w:pos="5485"/>
        </w:tabs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YzI0MGIyMjBhNzQ2ZGQ5NDllNGY2Nzk4MzJmMjkifQ=="/>
  </w:docVars>
  <w:rsids>
    <w:rsidRoot w:val="009B6AEE"/>
    <w:rsid w:val="00040F3B"/>
    <w:rsid w:val="00112E06"/>
    <w:rsid w:val="00280234"/>
    <w:rsid w:val="00750574"/>
    <w:rsid w:val="00880329"/>
    <w:rsid w:val="009B3E6D"/>
    <w:rsid w:val="009B6AEE"/>
    <w:rsid w:val="0FF94B77"/>
    <w:rsid w:val="1DFF43E2"/>
    <w:rsid w:val="1EFF03C6"/>
    <w:rsid w:val="2F67C643"/>
    <w:rsid w:val="30FB0A77"/>
    <w:rsid w:val="3CB6DB4E"/>
    <w:rsid w:val="3EAB0813"/>
    <w:rsid w:val="3FE6C4D4"/>
    <w:rsid w:val="49BDC6A1"/>
    <w:rsid w:val="55894926"/>
    <w:rsid w:val="56FD514C"/>
    <w:rsid w:val="57778307"/>
    <w:rsid w:val="57BCEDC6"/>
    <w:rsid w:val="5CDFC117"/>
    <w:rsid w:val="5DBFAA7A"/>
    <w:rsid w:val="5FDBDEF1"/>
    <w:rsid w:val="5FF60B3F"/>
    <w:rsid w:val="61FF1E69"/>
    <w:rsid w:val="655EE557"/>
    <w:rsid w:val="657F0FFF"/>
    <w:rsid w:val="67FF68D2"/>
    <w:rsid w:val="6CF7D405"/>
    <w:rsid w:val="6D75576C"/>
    <w:rsid w:val="6DFD9912"/>
    <w:rsid w:val="6F6FE93B"/>
    <w:rsid w:val="6F8E411E"/>
    <w:rsid w:val="6FBFB15D"/>
    <w:rsid w:val="6FD381A8"/>
    <w:rsid w:val="73F3A377"/>
    <w:rsid w:val="75AB3C9B"/>
    <w:rsid w:val="77F91E89"/>
    <w:rsid w:val="79793D0F"/>
    <w:rsid w:val="79A5298C"/>
    <w:rsid w:val="7B7FB81E"/>
    <w:rsid w:val="7DF28109"/>
    <w:rsid w:val="7EF0A6E9"/>
    <w:rsid w:val="7FB74D1B"/>
    <w:rsid w:val="7FEF48FE"/>
    <w:rsid w:val="7FF9CC8C"/>
    <w:rsid w:val="7FFD387C"/>
    <w:rsid w:val="95EF24A9"/>
    <w:rsid w:val="9D6BAEE6"/>
    <w:rsid w:val="A4ED52D3"/>
    <w:rsid w:val="AAFD7B76"/>
    <w:rsid w:val="B3F72C7D"/>
    <w:rsid w:val="BDDFCB00"/>
    <w:rsid w:val="BFFF47C3"/>
    <w:rsid w:val="C7FF7584"/>
    <w:rsid w:val="CB73F847"/>
    <w:rsid w:val="CF9CE7A2"/>
    <w:rsid w:val="D33E6D72"/>
    <w:rsid w:val="D47F8EB4"/>
    <w:rsid w:val="DBBE6BD9"/>
    <w:rsid w:val="DE75BCCE"/>
    <w:rsid w:val="E13BA0D8"/>
    <w:rsid w:val="E7FE3592"/>
    <w:rsid w:val="E9DFF143"/>
    <w:rsid w:val="ED1FBBE8"/>
    <w:rsid w:val="EDBC7434"/>
    <w:rsid w:val="EDDDBCEC"/>
    <w:rsid w:val="EDFD5501"/>
    <w:rsid w:val="EE3BB424"/>
    <w:rsid w:val="EEAFF0D2"/>
    <w:rsid w:val="EFDE3BCE"/>
    <w:rsid w:val="EFFEC0BB"/>
    <w:rsid w:val="EFFF7AD4"/>
    <w:rsid w:val="F3FFC80B"/>
    <w:rsid w:val="F59F8FEA"/>
    <w:rsid w:val="F6E74BC4"/>
    <w:rsid w:val="F7EF9DE8"/>
    <w:rsid w:val="FAC734D2"/>
    <w:rsid w:val="FAFB094D"/>
    <w:rsid w:val="FB9624D9"/>
    <w:rsid w:val="FCFFCC51"/>
    <w:rsid w:val="FD9FE387"/>
    <w:rsid w:val="FEF7C592"/>
    <w:rsid w:val="FF7EAD4D"/>
    <w:rsid w:val="FF9492FC"/>
    <w:rsid w:val="FFD4B367"/>
    <w:rsid w:val="FFEE85A8"/>
    <w:rsid w:val="FFF6A8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00" w:beforeAutospacing="1" w:after="120" w:line="360" w:lineRule="auto"/>
      <w:ind w:firstLine="1440" w:firstLineChars="200"/>
    </w:pPr>
    <w:rPr>
      <w:rFonts w:ascii="Calibri" w:hAnsi="Calibri" w:eastAsia="宋体" w:cs="Times New Roman"/>
      <w:sz w:val="28"/>
      <w:szCs w:val="28"/>
    </w:rPr>
  </w:style>
  <w:style w:type="paragraph" w:styleId="3">
    <w:name w:val="Normal Indent"/>
    <w:basedOn w:val="1"/>
    <w:next w:val="4"/>
    <w:qFormat/>
    <w:uiPriority w:val="0"/>
    <w:pPr>
      <w:ind w:firstLine="420"/>
    </w:pPr>
    <w:rPr>
      <w:kern w:val="2"/>
      <w:sz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"/>
    <w:basedOn w:val="1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6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99"/>
    <w:pPr>
      <w:ind w:firstLine="420"/>
    </w:p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样式3"/>
    <w:basedOn w:val="7"/>
    <w:qFormat/>
    <w:uiPriority w:val="0"/>
    <w:pPr>
      <w:spacing w:line="0" w:lineRule="atLeast"/>
      <w:outlineLvl w:val="0"/>
    </w:pPr>
    <w:rPr>
      <w:sz w:val="28"/>
    </w:rPr>
  </w:style>
  <w:style w:type="paragraph" w:customStyle="1" w:styleId="16">
    <w:name w:val="null3"/>
    <w:qFormat/>
    <w:uiPriority w:val="0"/>
    <w:rPr>
      <w:rFonts w:hint="eastAsia" w:ascii="Calibri" w:hAnsi="Calibr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1057</Words>
  <Characters>6026</Characters>
  <Lines>50</Lines>
  <Paragraphs>14</Paragraphs>
  <TotalTime>11</TotalTime>
  <ScaleCrop>false</ScaleCrop>
  <LinksUpToDate>false</LinksUpToDate>
  <CharactersWithSpaces>7069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执意</cp:lastModifiedBy>
  <cp:lastPrinted>2024-10-11T01:05:00Z</cp:lastPrinted>
  <dcterms:modified xsi:type="dcterms:W3CDTF">2024-10-10T14:00:00Z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811C31B34DBA4F1896BF41D49A434194_13</vt:lpwstr>
  </property>
</Properties>
</file>